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10FA" w14:textId="77777777" w:rsidR="001E2D01" w:rsidRPr="001E2D01" w:rsidRDefault="001E2D01" w:rsidP="001E2D01">
      <w:pPr>
        <w:keepNext/>
        <w:keepLines/>
        <w:spacing w:before="480" w:after="0" w:line="276" w:lineRule="auto"/>
        <w:jc w:val="center"/>
        <w:outlineLvl w:val="0"/>
        <w:rPr>
          <w:rFonts w:asciiTheme="majorHAnsi" w:eastAsiaTheme="majorEastAsia" w:hAnsiTheme="majorHAnsi" w:cs="Times New Roman"/>
          <w:b/>
          <w:bCs/>
          <w:color w:val="0F4761" w:themeColor="accent1" w:themeShade="BF"/>
          <w:kern w:val="0"/>
          <w:sz w:val="28"/>
          <w:szCs w:val="28"/>
          <w14:ligatures w14:val="none"/>
        </w:rPr>
      </w:pPr>
      <w:r w:rsidRPr="001E2D01">
        <w:rPr>
          <w:rFonts w:asciiTheme="majorHAnsi" w:eastAsiaTheme="majorEastAsia" w:hAnsiTheme="majorHAnsi" w:cs="Times New Roman"/>
          <w:b/>
          <w:bCs/>
          <w:color w:val="3333FF"/>
          <w:kern w:val="0"/>
          <w:sz w:val="28"/>
          <w:szCs w:val="28"/>
          <w:lang w:val="en-US"/>
          <w14:ligatures w14:val="none"/>
        </w:rPr>
        <w:t>ACMA Excellence Awards 2025</w:t>
      </w:r>
    </w:p>
    <w:p w14:paraId="1F8D4262" w14:textId="15FEFF8A" w:rsidR="001E2D01" w:rsidRDefault="001E2D01" w:rsidP="00FC4E76">
      <w:pPr>
        <w:keepNext/>
        <w:keepLines/>
        <w:spacing w:before="480" w:after="0" w:line="276" w:lineRule="auto"/>
        <w:jc w:val="center"/>
        <w:outlineLvl w:val="0"/>
        <w:rPr>
          <w:rFonts w:asciiTheme="majorHAnsi" w:eastAsiaTheme="majorEastAsia" w:hAnsiTheme="majorHAnsi" w:cs="Times New Roman"/>
          <w:b/>
          <w:bCs/>
          <w:color w:val="0F4761" w:themeColor="accent1" w:themeShade="BF"/>
          <w:kern w:val="0"/>
          <w:sz w:val="28"/>
          <w:szCs w:val="28"/>
          <w:lang w:val="en-US"/>
          <w14:ligatures w14:val="none"/>
        </w:rPr>
      </w:pPr>
      <w:r w:rsidRPr="001E2D01">
        <w:rPr>
          <w:rFonts w:asciiTheme="majorHAnsi" w:eastAsiaTheme="majorEastAsia" w:hAnsiTheme="majorHAnsi" w:cs="Times New Roman"/>
          <w:b/>
          <w:bCs/>
          <w:noProof/>
          <w:color w:val="0F4761" w:themeColor="accent1" w:themeShade="BF"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74035B84" wp14:editId="35B4C4D2">
            <wp:simplePos x="0" y="0"/>
            <wp:positionH relativeFrom="column">
              <wp:posOffset>5143500</wp:posOffset>
            </wp:positionH>
            <wp:positionV relativeFrom="paragraph">
              <wp:posOffset>-539750</wp:posOffset>
            </wp:positionV>
            <wp:extent cx="998133" cy="894080"/>
            <wp:effectExtent l="0" t="0" r="0" b="127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09952A4-B642-45D0-E474-65338279CA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809952A4-B642-45D0-E474-65338279CA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133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D01">
        <w:rPr>
          <w:rFonts w:asciiTheme="majorHAnsi" w:eastAsiaTheme="majorEastAsia" w:hAnsiTheme="majorHAnsi" w:cs="Times New Roman"/>
          <w:b/>
          <w:bCs/>
          <w:noProof/>
          <w:color w:val="0F4761" w:themeColor="accent1" w:themeShade="BF"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0" behindDoc="0" locked="0" layoutInCell="1" allowOverlap="1" wp14:anchorId="350C4F0B" wp14:editId="4FA07DBE">
            <wp:simplePos x="0" y="0"/>
            <wp:positionH relativeFrom="column">
              <wp:posOffset>-196850</wp:posOffset>
            </wp:positionH>
            <wp:positionV relativeFrom="paragraph">
              <wp:posOffset>-691515</wp:posOffset>
            </wp:positionV>
            <wp:extent cx="686791" cy="1397000"/>
            <wp:effectExtent l="0" t="0" r="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2F7B599-6767-4921-7A75-A7F4FE049D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2F7B599-6767-4921-7A75-A7F4FE049D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2" r="19590"/>
                    <a:stretch>
                      <a:fillRect/>
                    </a:stretch>
                  </pic:blipFill>
                  <pic:spPr>
                    <a:xfrm>
                      <a:off x="0" y="0"/>
                      <a:ext cx="686791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685B3" w14:textId="4977DA50" w:rsidR="00FC4E76" w:rsidRDefault="00FC4E76" w:rsidP="00FC4E76">
      <w:pPr>
        <w:keepNext/>
        <w:keepLines/>
        <w:spacing w:before="480" w:after="0" w:line="276" w:lineRule="auto"/>
        <w:jc w:val="center"/>
        <w:outlineLvl w:val="0"/>
        <w:rPr>
          <w:rFonts w:asciiTheme="majorHAnsi" w:eastAsiaTheme="majorEastAsia" w:hAnsiTheme="majorHAnsi" w:cs="Times New Roman"/>
          <w:b/>
          <w:bCs/>
          <w:color w:val="0F4761" w:themeColor="accent1" w:themeShade="BF"/>
          <w:kern w:val="0"/>
          <w:sz w:val="28"/>
          <w:szCs w:val="28"/>
          <w:lang w:val="en-US"/>
          <w14:ligatures w14:val="none"/>
        </w:rPr>
      </w:pPr>
      <w:r>
        <w:rPr>
          <w:rFonts w:asciiTheme="majorHAnsi" w:eastAsiaTheme="majorEastAsia" w:hAnsiTheme="majorHAnsi" w:cs="Times New Roman"/>
          <w:b/>
          <w:bCs/>
          <w:color w:val="0F4761" w:themeColor="accent1" w:themeShade="BF"/>
          <w:kern w:val="0"/>
          <w:sz w:val="28"/>
          <w:szCs w:val="28"/>
          <w:lang w:val="en-US"/>
          <w14:ligatures w14:val="none"/>
        </w:rPr>
        <w:t>Reading reference material for answering Common Questions</w:t>
      </w:r>
    </w:p>
    <w:p w14:paraId="20727C83" w14:textId="50771E96" w:rsidR="001E2D01" w:rsidRDefault="001E2D01" w:rsidP="001E2D01">
      <w:pPr>
        <w:keepNext/>
        <w:keepLines/>
        <w:spacing w:before="480" w:after="0" w:line="276" w:lineRule="auto"/>
        <w:jc w:val="both"/>
        <w:outlineLvl w:val="0"/>
        <w:rPr>
          <w:rFonts w:asciiTheme="majorHAnsi" w:eastAsiaTheme="majorEastAsia" w:hAnsiTheme="majorHAnsi" w:cs="Times New Roman"/>
          <w:color w:val="0F4761" w:themeColor="accent1" w:themeShade="BF"/>
          <w:kern w:val="0"/>
          <w:sz w:val="28"/>
          <w:szCs w:val="28"/>
          <w14:ligatures w14:val="none"/>
        </w:rPr>
      </w:pPr>
      <w:r w:rsidRPr="001E2D01">
        <w:rPr>
          <w:rFonts w:asciiTheme="majorHAnsi" w:eastAsiaTheme="majorEastAsia" w:hAnsiTheme="majorHAnsi" w:cs="Times New Roman"/>
          <w:color w:val="0F4761" w:themeColor="accent1" w:themeShade="BF"/>
          <w:kern w:val="0"/>
          <w:sz w:val="28"/>
          <w:szCs w:val="28"/>
          <w14:ligatures w14:val="none"/>
        </w:rPr>
        <w:t>This is optional and not mandatory</w:t>
      </w:r>
      <w:r>
        <w:rPr>
          <w:rFonts w:asciiTheme="majorHAnsi" w:eastAsiaTheme="majorEastAsia" w:hAnsiTheme="majorHAnsi" w:cs="Times New Roman"/>
          <w:color w:val="0F4761" w:themeColor="accent1" w:themeShade="BF"/>
          <w:kern w:val="0"/>
          <w:sz w:val="28"/>
          <w:szCs w:val="28"/>
          <w14:ligatures w14:val="none"/>
        </w:rPr>
        <w:t xml:space="preserve"> to use</w:t>
      </w:r>
      <w:r w:rsidRPr="001E2D01">
        <w:rPr>
          <w:rFonts w:asciiTheme="majorHAnsi" w:eastAsiaTheme="majorEastAsia" w:hAnsiTheme="majorHAnsi" w:cs="Times New Roman"/>
          <w:color w:val="0F4761" w:themeColor="accent1" w:themeShade="BF"/>
          <w:kern w:val="0"/>
          <w:sz w:val="28"/>
          <w:szCs w:val="28"/>
          <w14:ligatures w14:val="none"/>
        </w:rPr>
        <w:t xml:space="preserve"> for answering every </w:t>
      </w:r>
      <w:r>
        <w:rPr>
          <w:rFonts w:asciiTheme="majorHAnsi" w:eastAsiaTheme="majorEastAsia" w:hAnsiTheme="majorHAnsi" w:cs="Times New Roman"/>
          <w:color w:val="0F4761" w:themeColor="accent1" w:themeShade="BF"/>
          <w:kern w:val="0"/>
          <w:sz w:val="28"/>
          <w:szCs w:val="28"/>
          <w14:ligatures w14:val="none"/>
        </w:rPr>
        <w:t>question</w:t>
      </w:r>
      <w:r w:rsidRPr="001E2D01">
        <w:rPr>
          <w:rFonts w:asciiTheme="majorHAnsi" w:eastAsiaTheme="majorEastAsia" w:hAnsiTheme="majorHAnsi" w:cs="Times New Roman"/>
          <w:color w:val="0F4761" w:themeColor="accent1" w:themeShade="BF"/>
          <w:kern w:val="0"/>
          <w:sz w:val="28"/>
          <w:szCs w:val="28"/>
          <w14:ligatures w14:val="none"/>
        </w:rPr>
        <w:t>. However, the points mentioned under the ‘Hint’ section in the application software for each question or KPI are mandatory to address.</w:t>
      </w:r>
    </w:p>
    <w:p w14:paraId="252BE051" w14:textId="263A2A38" w:rsidR="00FC4E76" w:rsidRPr="00FC4E76" w:rsidRDefault="00FC4E76" w:rsidP="00FC4E76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t>Area 1: Leadership &amp; Strategy</w:t>
      </w:r>
    </w:p>
    <w:p w14:paraId="1F495793" w14:textId="3E813EC9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Aligning Manufacturing Strategy with Business Goals</w:t>
      </w:r>
    </w:p>
    <w:p w14:paraId="5BB15534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Published and documented strategy</w:t>
      </w:r>
    </w:p>
    <w:p w14:paraId="3D1E8B93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Strategy awareness across all levels</w:t>
      </w:r>
    </w:p>
    <w:p w14:paraId="57DD5E84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Clear linkage of manufacturing goals with business vision</w:t>
      </w:r>
    </w:p>
    <w:p w14:paraId="627FDF2B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Leadership in Continuous Improvement</w:t>
      </w:r>
    </w:p>
    <w:p w14:paraId="5EA16011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Reward &amp; recognition initiatives</w:t>
      </w:r>
    </w:p>
    <w:p w14:paraId="6FEF5825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CI project budgets</w:t>
      </w:r>
    </w:p>
    <w:p w14:paraId="4C1579D4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Regular Gemba walks &amp; reviews</w:t>
      </w:r>
    </w:p>
    <w:p w14:paraId="6EEF938D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Adapting to Market and Technology Changes</w:t>
      </w:r>
    </w:p>
    <w:p w14:paraId="77FC8ABF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Investment plans aligned to market/tech shifts</w:t>
      </w:r>
    </w:p>
    <w:p w14:paraId="2E63AB69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Strategy documents include risk assessments</w:t>
      </w:r>
    </w:p>
    <w:p w14:paraId="40B3B5E2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Example projects executed</w:t>
      </w:r>
    </w:p>
    <w:p w14:paraId="495577AB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Communicating Objectives &amp; Strategies</w:t>
      </w:r>
    </w:p>
    <w:p w14:paraId="6EDCA96B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Open house, skip-level meetings</w:t>
      </w:r>
    </w:p>
    <w:p w14:paraId="225C66F5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Cascading strategy into individual KPIs</w:t>
      </w:r>
    </w:p>
    <w:p w14:paraId="4DE68CDC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Regular KPI reviews and corrections</w:t>
      </w:r>
    </w:p>
    <w:p w14:paraId="20B6B52E" w14:textId="77777777" w:rsidR="00FC4E76" w:rsidRPr="00FC4E76" w:rsidRDefault="00FC4E76" w:rsidP="00FC4E76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t>Area 2: Process Efficiency and Innovation</w:t>
      </w:r>
    </w:p>
    <w:p w14:paraId="1C5176B6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Monitoring &amp; Improving Production Processes</w:t>
      </w:r>
    </w:p>
    <w:p w14:paraId="7C43E527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Identify bottlenecks systematically</w:t>
      </w:r>
    </w:p>
    <w:p w14:paraId="53BAFC7B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Senior management project reviews</w:t>
      </w:r>
    </w:p>
    <w:p w14:paraId="4774E981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PDCA approach for improvements</w:t>
      </w:r>
    </w:p>
    <w:p w14:paraId="6B2EC623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Track number of improvements completed</w:t>
      </w:r>
    </w:p>
    <w:p w14:paraId="7C742978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Recent Innovations in Manufacturing</w:t>
      </w:r>
    </w:p>
    <w:p w14:paraId="0F67CB12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Employee-driven innovation culture</w:t>
      </w:r>
    </w:p>
    <w:p w14:paraId="1BE6295D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lastRenderedPageBreak/>
        <w:t>• Horizontal deployment of innovations</w:t>
      </w:r>
    </w:p>
    <w:p w14:paraId="67CD949F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Track process/design patents</w:t>
      </w:r>
    </w:p>
    <w:p w14:paraId="54CB8EAC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Business impact of innovations</w:t>
      </w:r>
    </w:p>
    <w:p w14:paraId="202D4071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Continuous Improvement Methodologies</w:t>
      </w:r>
    </w:p>
    <w:p w14:paraId="030DEE5F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Manufacturing Excellence systems</w:t>
      </w:r>
    </w:p>
    <w:p w14:paraId="487E5248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Six Sigma for complex problem-solving</w:t>
      </w:r>
    </w:p>
    <w:p w14:paraId="31276E99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Business impact of Six Sigma projects</w:t>
      </w:r>
    </w:p>
    <w:p w14:paraId="50CAB747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Integrating Technology for Efficiency</w:t>
      </w:r>
    </w:p>
    <w:p w14:paraId="0BE5F484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Real-time production/quality via IoT/Industry 4.0</w:t>
      </w:r>
    </w:p>
    <w:p w14:paraId="0FE217A4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Lifecycle analysis (LCA)</w:t>
      </w:r>
    </w:p>
    <w:p w14:paraId="6FB19E15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Automation with scanners, barcodes, poka-yoke</w:t>
      </w:r>
    </w:p>
    <w:p w14:paraId="0C0A6B9E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High automation of critical processes</w:t>
      </w:r>
    </w:p>
    <w:p w14:paraId="06CF33BD" w14:textId="77777777" w:rsidR="00FC4E76" w:rsidRPr="00FC4E76" w:rsidRDefault="00FC4E76" w:rsidP="00FC4E76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t>Area 3: Quality Management</w:t>
      </w:r>
    </w:p>
    <w:p w14:paraId="56009AFF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Ensuring Product Quality Throughout Production</w:t>
      </w:r>
    </w:p>
    <w:p w14:paraId="70471175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Built-in Quality (BIQ) culture</w:t>
      </w:r>
    </w:p>
    <w:p w14:paraId="7175BA20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Production staff aware of quality standards</w:t>
      </w:r>
    </w:p>
    <w:p w14:paraId="4C724AF2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Defined, unambiguous quality standards</w:t>
      </w:r>
    </w:p>
    <w:p w14:paraId="57B2005A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Maintaining Quality Across Shifts/Lines</w:t>
      </w:r>
    </w:p>
    <w:p w14:paraId="62C45FC0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Independent inspection gates &amp; PDI</w:t>
      </w:r>
    </w:p>
    <w:p w14:paraId="229A2789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Real-time IT-based quality reporting</w:t>
      </w:r>
    </w:p>
    <w:p w14:paraId="0EEB83FF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Effective shift-to-shift defect communication</w:t>
      </w:r>
    </w:p>
    <w:p w14:paraId="7C337D36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Quality Assurance Systems in Place</w:t>
      </w:r>
    </w:p>
    <w:p w14:paraId="5E578DEE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ISO/quality certifications</w:t>
      </w:r>
    </w:p>
    <w:p w14:paraId="5FECD37A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SPC usage for critical operations</w:t>
      </w:r>
    </w:p>
    <w:p w14:paraId="1B79DE5E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Cp &amp; Cpk tracking for key dimensions</w:t>
      </w:r>
    </w:p>
    <w:p w14:paraId="2D5476F8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Managing Quality Issues and Customer Complaints</w:t>
      </w:r>
    </w:p>
    <w:p w14:paraId="1C64D220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CFT approach for resolution</w:t>
      </w:r>
    </w:p>
    <w:p w14:paraId="62DDDAC8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Senior management quality reviews</w:t>
      </w:r>
    </w:p>
    <w:p w14:paraId="741F1D98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Use of 7 QC tools, Six Sigma, DOE</w:t>
      </w:r>
    </w:p>
    <w:p w14:paraId="33D04071" w14:textId="77777777" w:rsidR="00FC4E76" w:rsidRPr="00FC4E76" w:rsidRDefault="00FC4E76" w:rsidP="00FC4E76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t>Area 4: Supply Chain and Inventory Management</w:t>
      </w:r>
    </w:p>
    <w:p w14:paraId="5744F3C2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Managing Supplier Relationships</w:t>
      </w:r>
    </w:p>
    <w:p w14:paraId="0B4848F9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Agreements for capacity, quality, delivery</w:t>
      </w:r>
    </w:p>
    <w:p w14:paraId="6F2436B8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Supplier rating &amp; development</w:t>
      </w:r>
    </w:p>
    <w:p w14:paraId="5B542EDF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Robust new supplier selection</w:t>
      </w:r>
    </w:p>
    <w:p w14:paraId="47970EEE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Optimal Inventory and Waste Reduction</w:t>
      </w:r>
    </w:p>
    <w:p w14:paraId="0924AC36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FIFO system implementation</w:t>
      </w:r>
    </w:p>
    <w:p w14:paraId="5EEF4EBC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Logistics loss reduction projects</w:t>
      </w:r>
    </w:p>
    <w:p w14:paraId="1DAC6834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Lean tools: Kanban, kitting, ABC classification</w:t>
      </w:r>
    </w:p>
    <w:p w14:paraId="7A264790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lastRenderedPageBreak/>
        <w:t>Flexibility in Supply Chain</w:t>
      </w:r>
    </w:p>
    <w:p w14:paraId="299453C1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Contingency plans for customer demand</w:t>
      </w:r>
    </w:p>
    <w:p w14:paraId="3A5DD114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Demand management with tech tools</w:t>
      </w:r>
    </w:p>
    <w:p w14:paraId="3C2ACE6C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Zero obsolescence via value chain change</w:t>
      </w:r>
    </w:p>
    <w:p w14:paraId="513DDD20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Internal Material Handling &amp; Logistics</w:t>
      </w:r>
    </w:p>
    <w:p w14:paraId="4D58F0F0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Minimized repacking/double handling</w:t>
      </w:r>
    </w:p>
    <w:p w14:paraId="681FF8A2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Lean principles in warehouse/line-side</w:t>
      </w:r>
    </w:p>
    <w:p w14:paraId="2D9249B3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Milk runs, containerization, truck saturation</w:t>
      </w:r>
    </w:p>
    <w:p w14:paraId="6022329D" w14:textId="77777777" w:rsidR="00FC4E76" w:rsidRPr="00FC4E76" w:rsidRDefault="00FC4E76" w:rsidP="00FC4E76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t>Area 5: Sustainability and Environmental Responsibility</w:t>
      </w:r>
    </w:p>
    <w:p w14:paraId="1AFCA208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Reducing Environmental Footprint</w:t>
      </w:r>
    </w:p>
    <w:p w14:paraId="68E0BD15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Scope 1-4 analysis with action plans</w:t>
      </w:r>
    </w:p>
    <w:p w14:paraId="10C2C6F8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Energy, water, material, waste reduction projects</w:t>
      </w:r>
    </w:p>
    <w:p w14:paraId="1B57C0A2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Budget for E&amp;S initiatives</w:t>
      </w:r>
    </w:p>
    <w:p w14:paraId="1085C498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Incorporating Sustainability into Manufacturing</w:t>
      </w:r>
    </w:p>
    <w:p w14:paraId="76D3C878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E&amp;S KPIs at all levels</w:t>
      </w:r>
    </w:p>
    <w:p w14:paraId="35BE87D9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Eco-friendly supply chain practices</w:t>
      </w:r>
    </w:p>
    <w:p w14:paraId="696E6B2B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3R projects with operator involvement</w:t>
      </w:r>
    </w:p>
    <w:p w14:paraId="4C123A92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Waste Reduction and Eco-Friendly Initiatives</w:t>
      </w:r>
    </w:p>
    <w:p w14:paraId="725DC6BB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Environmental ISO certifications</w:t>
      </w:r>
    </w:p>
    <w:p w14:paraId="129DF005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Senior management reviews</w:t>
      </w:r>
    </w:p>
    <w:p w14:paraId="500D9B80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Third-party audits and recognitions</w:t>
      </w:r>
    </w:p>
    <w:p w14:paraId="3513535E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Measuring Sustainability Progress</w:t>
      </w:r>
    </w:p>
    <w:p w14:paraId="41721D22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Trend tracking of key E&amp;S KPIs</w:t>
      </w:r>
    </w:p>
    <w:p w14:paraId="51D46EFA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Vision and strategy (e.g. 'Go 100% green by 2030')</w:t>
      </w:r>
    </w:p>
    <w:p w14:paraId="5DB24D8D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Customer/industry awards</w:t>
      </w:r>
    </w:p>
    <w:p w14:paraId="1C56072C" w14:textId="77777777" w:rsidR="00FC4E76" w:rsidRPr="00FC4E76" w:rsidRDefault="00FC4E76" w:rsidP="00FC4E76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t>Area 6: Employee Engagement and Development</w:t>
      </w:r>
    </w:p>
    <w:p w14:paraId="2B5DDA82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Employee Engagement</w:t>
      </w:r>
    </w:p>
    <w:p w14:paraId="4A94778E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Kaizen awards</w:t>
      </w:r>
    </w:p>
    <w:p w14:paraId="3CBB639E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Employee-led improvement competitions</w:t>
      </w:r>
    </w:p>
    <w:p w14:paraId="7BE986DA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Leadership townhalls and skip-level meetings</w:t>
      </w:r>
    </w:p>
    <w:p w14:paraId="48E74CF6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Training Programs</w:t>
      </w:r>
    </w:p>
    <w:p w14:paraId="6C804544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Annual technical &amp; behavioral training calendar</w:t>
      </w:r>
    </w:p>
    <w:p w14:paraId="0FEE41FC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Manager-recommended future-role programs</w:t>
      </w:r>
    </w:p>
    <w:p w14:paraId="426612D3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In-house faculty and knowledge sharing</w:t>
      </w:r>
    </w:p>
    <w:p w14:paraId="60ECFDEB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Workplace Safety</w:t>
      </w:r>
    </w:p>
    <w:p w14:paraId="7ED61555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Clean restrooms, PPE policies</w:t>
      </w:r>
    </w:p>
    <w:p w14:paraId="75FD4C78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Nutritious food &amp; hygiene in canteens</w:t>
      </w:r>
    </w:p>
    <w:p w14:paraId="116B9BB2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lastRenderedPageBreak/>
        <w:t>Morale &amp; Retention</w:t>
      </w:r>
    </w:p>
    <w:p w14:paraId="6840B821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Transparent performance appraisals</w:t>
      </w:r>
    </w:p>
    <w:p w14:paraId="15E4BA3C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Fast-track programs for high-potential employees</w:t>
      </w:r>
    </w:p>
    <w:p w14:paraId="02C94706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CSR and family-inclusive events</w:t>
      </w:r>
    </w:p>
    <w:p w14:paraId="7EB65FA2" w14:textId="77777777" w:rsidR="00FC4E76" w:rsidRPr="00FC4E76" w:rsidRDefault="00FC4E76" w:rsidP="00FC4E76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t>Area 7: Technology and Automation</w:t>
      </w:r>
    </w:p>
    <w:p w14:paraId="357FBB5F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Automation</w:t>
      </w:r>
    </w:p>
    <w:p w14:paraId="0043FD1D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Low-cost automation</w:t>
      </w:r>
    </w:p>
    <w:p w14:paraId="4B51ED98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Poka-Yoke, scanners, touchscreens</w:t>
      </w:r>
    </w:p>
    <w:p w14:paraId="2114B292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IoT-enabled monitoring, Industry 4.0</w:t>
      </w:r>
    </w:p>
    <w:p w14:paraId="32133E71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Data Analytics</w:t>
      </w:r>
    </w:p>
    <w:p w14:paraId="274F3FC2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Dashboards for management</w:t>
      </w:r>
    </w:p>
    <w:p w14:paraId="264DACA0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Predictive maintenance via sensor data</w:t>
      </w:r>
    </w:p>
    <w:p w14:paraId="0CE443FB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Tech Trends</w:t>
      </w:r>
    </w:p>
    <w:p w14:paraId="2C109D19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KPIs to track new tech adoption</w:t>
      </w:r>
    </w:p>
    <w:p w14:paraId="1467824E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Training in emerging technologies</w:t>
      </w:r>
    </w:p>
    <w:p w14:paraId="61FEA2FB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Examples of recent tech projects</w:t>
      </w:r>
    </w:p>
    <w:p w14:paraId="00BF5D51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Digital Tools</w:t>
      </w:r>
    </w:p>
    <w:p w14:paraId="486B8FA4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MES for real-time data</w:t>
      </w:r>
    </w:p>
    <w:p w14:paraId="61726EA7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ERP for inventory/material</w:t>
      </w:r>
    </w:p>
    <w:p w14:paraId="7E0BED6E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HR tech for appraisals, attendance, training</w:t>
      </w:r>
    </w:p>
    <w:p w14:paraId="2AA0A354" w14:textId="77777777" w:rsidR="00FC4E76" w:rsidRPr="00FC4E76" w:rsidRDefault="00FC4E76" w:rsidP="00FC4E76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t>Area 8: Customer Satisfaction and Service</w:t>
      </w:r>
    </w:p>
    <w:p w14:paraId="6FA6857C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Timely Delivery</w:t>
      </w:r>
    </w:p>
    <w:p w14:paraId="625BDA2F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OTIF &amp; zero-defect KPIs</w:t>
      </w:r>
    </w:p>
    <w:p w14:paraId="78CE2BE4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On-call technical support</w:t>
      </w:r>
    </w:p>
    <w:p w14:paraId="1876BC79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DOL or JIT partnerships</w:t>
      </w:r>
    </w:p>
    <w:p w14:paraId="1E291E23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After-Sales</w:t>
      </w:r>
    </w:p>
    <w:p w14:paraId="2A75F6B0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Warranty engagement</w:t>
      </w:r>
    </w:p>
    <w:p w14:paraId="0A858CD7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Field service/warranty teams</w:t>
      </w:r>
    </w:p>
    <w:p w14:paraId="4078D1D9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Feedback</w:t>
      </w:r>
    </w:p>
    <w:p w14:paraId="76173F15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Action plans from audits</w:t>
      </w:r>
    </w:p>
    <w:p w14:paraId="74DBECE1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Customer competitions</w:t>
      </w:r>
    </w:p>
    <w:p w14:paraId="341B7571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Satisfaction score improvements</w:t>
      </w:r>
    </w:p>
    <w:p w14:paraId="1C7533B7" w14:textId="77777777" w:rsidR="00FC4E76" w:rsidRPr="00FC4E76" w:rsidRDefault="00FC4E76" w:rsidP="00FC4E76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t>Area 9: Financial Performance and Cost Control</w:t>
      </w:r>
    </w:p>
    <w:p w14:paraId="574DA7C8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Cost Effectiveness</w:t>
      </w:r>
    </w:p>
    <w:p w14:paraId="592A7540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Direct/variable cost trend reviews</w:t>
      </w:r>
    </w:p>
    <w:p w14:paraId="4CE11109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CFTs for cost element reduction</w:t>
      </w:r>
    </w:p>
    <w:p w14:paraId="7157589D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Impactful cost savings</w:t>
      </w:r>
    </w:p>
    <w:p w14:paraId="3EEF70C7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lastRenderedPageBreak/>
        <w:t>Cost Reduction</w:t>
      </w:r>
    </w:p>
    <w:p w14:paraId="02C651F2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5-year strategic plan</w:t>
      </w:r>
    </w:p>
    <w:p w14:paraId="0D42679D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Quality-focused CAPEX investments</w:t>
      </w:r>
    </w:p>
    <w:p w14:paraId="478DBC71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Financial Resources</w:t>
      </w:r>
    </w:p>
    <w:p w14:paraId="238313AF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Internal accrual-based working capital</w:t>
      </w:r>
    </w:p>
    <w:p w14:paraId="7696E68E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Term loan-funded capital expenditures</w:t>
      </w:r>
    </w:p>
    <w:p w14:paraId="1617C874" w14:textId="77777777" w:rsidR="00FC4E76" w:rsidRPr="00FC4E76" w:rsidRDefault="00FC4E76" w:rsidP="00FC4E76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t>Area 10: Risk Management and Resilience</w:t>
      </w:r>
    </w:p>
    <w:p w14:paraId="2971CF27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Risk Mitigation</w:t>
      </w:r>
    </w:p>
    <w:p w14:paraId="0E24C9D0" w14:textId="77777777" w:rsidR="00FC4E76" w:rsidRPr="00FC4E76" w:rsidRDefault="00FC4E76" w:rsidP="007A23CA">
      <w:p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Plans for key suppliers/materials</w:t>
      </w:r>
    </w:p>
    <w:p w14:paraId="345EDE58" w14:textId="77777777" w:rsidR="00FC4E76" w:rsidRPr="00FC4E76" w:rsidRDefault="00FC4E76" w:rsidP="007A23CA">
      <w:p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Backup for critical machines</w:t>
      </w:r>
    </w:p>
    <w:p w14:paraId="3684AF22" w14:textId="77777777" w:rsidR="00FC4E76" w:rsidRPr="00FC4E76" w:rsidRDefault="00FC4E76" w:rsidP="007A23CA">
      <w:pPr>
        <w:spacing w:after="200" w:line="276" w:lineRule="auto"/>
        <w:ind w:left="360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Alternate process approvals</w:t>
      </w:r>
    </w:p>
    <w:p w14:paraId="1B3F8B0A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Contingency Planning</w:t>
      </w:r>
    </w:p>
    <w:p w14:paraId="6FC5B062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Strikes/unrest/roadblocks</w:t>
      </w:r>
    </w:p>
    <w:p w14:paraId="0E0C90D2" w14:textId="77777777" w:rsidR="00FC4E76" w:rsidRPr="00FC4E76" w:rsidRDefault="00FC4E76" w:rsidP="00FC4E76">
      <w:pPr>
        <w:numPr>
          <w:ilvl w:val="0"/>
          <w:numId w:val="1"/>
        </w:numPr>
        <w:spacing w:after="200" w:line="276" w:lineRule="auto"/>
        <w:contextualSpacing/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Learning from disruptions</w:t>
      </w:r>
    </w:p>
    <w:p w14:paraId="131C8D73" w14:textId="77777777" w:rsidR="00FC4E76" w:rsidRPr="00FC4E76" w:rsidRDefault="00FC4E76" w:rsidP="00FC4E7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FC4E7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Business Continuity</w:t>
      </w:r>
    </w:p>
    <w:p w14:paraId="645D29F7" w14:textId="77777777" w:rsidR="007A23CA" w:rsidRDefault="00FC4E76" w:rsidP="007A23CA">
      <w:pPr>
        <w:numPr>
          <w:ilvl w:val="0"/>
          <w:numId w:val="1"/>
        </w:numPr>
        <w:rPr>
          <w:color w:val="000000" w:themeColor="text1"/>
        </w:rPr>
      </w:pPr>
      <w:r w:rsidRPr="00FC4E76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>• Customized bu</w:t>
      </w:r>
      <w:r w:rsidR="007A23CA">
        <w:rPr>
          <w:rFonts w:eastAsiaTheme="minorEastAsia" w:cs="Times New Roman"/>
          <w:color w:val="000000" w:themeColor="text1"/>
          <w:kern w:val="0"/>
          <w:sz w:val="22"/>
          <w:szCs w:val="22"/>
          <w:lang w:val="en-US"/>
          <w14:ligatures w14:val="none"/>
        </w:rPr>
        <w:t xml:space="preserve">siness </w:t>
      </w:r>
      <w:r w:rsidR="007A23CA" w:rsidRPr="007A23CA">
        <w:rPr>
          <w:color w:val="000000" w:themeColor="text1"/>
        </w:rPr>
        <w:t>continuity plans</w:t>
      </w:r>
    </w:p>
    <w:p w14:paraId="6517B6E3" w14:textId="77777777" w:rsidR="00172356" w:rsidRPr="00172356" w:rsidRDefault="00172356" w:rsidP="00172356">
      <w:pPr>
        <w:keepNext/>
        <w:keepLines/>
        <w:spacing w:before="200" w:after="0" w:line="276" w:lineRule="auto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172356">
        <w:rPr>
          <w:rFonts w:asciiTheme="majorHAnsi" w:eastAsiaTheme="majorEastAsia" w:hAnsiTheme="majorHAns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Summary &amp; Way Forward</w:t>
      </w:r>
    </w:p>
    <w:p w14:paraId="59D01661" w14:textId="77777777" w:rsidR="00172356" w:rsidRPr="00FC4E76" w:rsidRDefault="00172356" w:rsidP="00172356">
      <w:pPr>
        <w:pStyle w:val="ListBullet"/>
      </w:pPr>
      <w:r w:rsidRPr="00FC4E76">
        <w:t>• Key achievements and metrics across 10 areas</w:t>
      </w:r>
    </w:p>
    <w:p w14:paraId="1EF76101" w14:textId="77777777" w:rsidR="00172356" w:rsidRPr="00FC4E76" w:rsidRDefault="00172356" w:rsidP="00172356">
      <w:pPr>
        <w:pStyle w:val="ListBullet"/>
      </w:pPr>
      <w:r w:rsidRPr="00FC4E76">
        <w:t>• Ongoing and future improvement plans</w:t>
      </w:r>
    </w:p>
    <w:p w14:paraId="13512E12" w14:textId="77777777" w:rsidR="00172356" w:rsidRPr="00FC4E76" w:rsidRDefault="00172356" w:rsidP="00172356">
      <w:pPr>
        <w:pStyle w:val="ListBullet"/>
      </w:pPr>
      <w:r w:rsidRPr="00FC4E76">
        <w:t>• Focus areas for continuous progress</w:t>
      </w:r>
    </w:p>
    <w:p w14:paraId="0ABD3218" w14:textId="77777777" w:rsidR="0098403D" w:rsidRDefault="0098403D" w:rsidP="0098403D">
      <w:pPr>
        <w:rPr>
          <w:color w:val="000000" w:themeColor="text1"/>
        </w:rPr>
      </w:pPr>
    </w:p>
    <w:p w14:paraId="449EBAC5" w14:textId="33E4C4BE" w:rsidR="0098403D" w:rsidRPr="007A23CA" w:rsidRDefault="0098403D" w:rsidP="0098403D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--------------------------------------------------------------------------------------------------------------</w:t>
      </w:r>
    </w:p>
    <w:p w14:paraId="502BBD96" w14:textId="651FD500" w:rsidR="008C2658" w:rsidRPr="00FC4E76" w:rsidRDefault="008C2658" w:rsidP="00FC4E76">
      <w:pPr>
        <w:rPr>
          <w:color w:val="000000" w:themeColor="text1"/>
        </w:rPr>
      </w:pPr>
    </w:p>
    <w:sectPr w:rsidR="008C2658" w:rsidRPr="00FC4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E4E36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7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76"/>
    <w:rsid w:val="00004FA4"/>
    <w:rsid w:val="00172356"/>
    <w:rsid w:val="001E2D01"/>
    <w:rsid w:val="005A65BD"/>
    <w:rsid w:val="005D2F83"/>
    <w:rsid w:val="007A23CA"/>
    <w:rsid w:val="00830FA6"/>
    <w:rsid w:val="008C2658"/>
    <w:rsid w:val="008C5BA2"/>
    <w:rsid w:val="0098403D"/>
    <w:rsid w:val="00B51AF0"/>
    <w:rsid w:val="00D16573"/>
    <w:rsid w:val="00EC1565"/>
    <w:rsid w:val="00FA1291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4A93"/>
  <w15:chartTrackingRefBased/>
  <w15:docId w15:val="{9FE9A58D-7538-4900-8C9C-119BA911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E7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="Times New Roman"/>
      <w:b/>
      <w:bCs/>
      <w:color w:val="0F4761" w:themeColor="accent1" w:themeShade="BF"/>
      <w:kern w:val="0"/>
      <w:sz w:val="28"/>
      <w:szCs w:val="28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E7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="Times New Roman"/>
      <w:b/>
      <w:bCs/>
      <w:color w:val="156082" w:themeColor="accent1"/>
      <w:kern w:val="0"/>
      <w:sz w:val="26"/>
      <w:szCs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E76"/>
    <w:rPr>
      <w:rFonts w:asciiTheme="majorHAnsi" w:eastAsiaTheme="majorEastAsia" w:hAnsiTheme="majorHAnsi" w:cs="Times New Roman"/>
      <w:b/>
      <w:bCs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C4E76"/>
    <w:rPr>
      <w:rFonts w:asciiTheme="majorHAnsi" w:eastAsiaTheme="majorEastAsia" w:hAnsiTheme="majorHAnsi" w:cs="Times New Roman"/>
      <w:b/>
      <w:bCs/>
      <w:color w:val="156082" w:themeColor="accent1"/>
      <w:kern w:val="0"/>
      <w:sz w:val="26"/>
      <w:szCs w:val="26"/>
      <w:lang w:val="en-US"/>
      <w14:ligatures w14:val="none"/>
    </w:rPr>
  </w:style>
  <w:style w:type="paragraph" w:styleId="ListBullet">
    <w:name w:val="List Bullet"/>
    <w:basedOn w:val="Normal"/>
    <w:uiPriority w:val="99"/>
    <w:unhideWhenUsed/>
    <w:rsid w:val="00FC4E76"/>
    <w:pPr>
      <w:numPr>
        <w:numId w:val="1"/>
      </w:numPr>
      <w:spacing w:after="200" w:line="276" w:lineRule="auto"/>
      <w:contextualSpacing/>
    </w:pPr>
    <w:rPr>
      <w:rFonts w:eastAsiaTheme="minorEastAsia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 Gosavi</dc:creator>
  <cp:keywords/>
  <dc:description/>
  <cp:lastModifiedBy>Pallavi Gosavi</cp:lastModifiedBy>
  <cp:revision>9</cp:revision>
  <dcterms:created xsi:type="dcterms:W3CDTF">2025-07-09T11:31:00Z</dcterms:created>
  <dcterms:modified xsi:type="dcterms:W3CDTF">2025-07-14T09:35:00Z</dcterms:modified>
</cp:coreProperties>
</file>